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2702/2023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Ementa: Dispõe sobre a nova formação da Comissão de Patrimônio do CRF/SC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O Presidente do Conselho Regional de Farmácia do Estado de Santa Catarina - CRF-SC, no uso das atribuições que lhe são conferidas pela Lei 3820, de 11 de novembro de 1960  e Regimento Interno,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 E S O L V 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1º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– Excluir o funcionário Rafhael Carlos de Souza  da Comissão de Patrimônio do CRF/SC;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-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2º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– Incluir o funcionário Marcos Aurélio Goulart como membro da Comissão de Patrimônio do CRF/SC, a partir de 16/11/2023;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3º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 Com as alterações supracitadas a Comissão de Patrimônio do CRF/SC ficará assim composta: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Neiva Denise Schmitz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Maurício Gustavo Tramontina –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Marcos Aurélio Goulart -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º - Esta Portaria passa a vigorar a partir de 01/11/2023,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60" w:right="0" w:hanging="12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60" w:right="0" w:hanging="12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Florianópolis, 08 de Novembro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641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