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PORTARIA Nº 2693/2023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Ementa: Dispõe sobre a aplicação de penalidade com referência ao Processo Administrativo Disciplinar 001/2023 do CRF/SC.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O Presidente do Conselho Regional de Farmácia do Estado de Santa Catarina – CRF-SC, no uso das atribuições que lhe são conferidas pela Lei 3820 de 11 de novembro de 1960 e pelo  Regimento Interno, 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Considerando a Portaria 2524/2018, que dispõe sobre o controle da disciplina no âmbito do Conselho Regional de Farmácia de Santa Catarina;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Considerando a Portaria 2680/2023 que instaurou o processo administrativo disciplinar, 001/2023;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Considerando o parecer final da comissão do processo administrativo disciplinar 001/2023, do CRF/SC 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Considerando o despacho do presidente do CRF/SC, sobre o processo administrativo disciplinar 001/2023 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 fundamento no artigo 66, inciso I da portaria n° 2524/2018 do CRF/SC,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ind w:left="1125" w:right="0" w:hanging="1080"/>
        <w:jc w:val="both"/>
        <w:rPr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Artigo 1º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- Aplicar a penalidade de advertência</w:t>
      </w:r>
      <w:r w:rsidDel="00000000" w:rsidR="00000000" w:rsidRPr="00000000">
        <w:rPr>
          <w:b w:val="0"/>
          <w:sz w:val="21"/>
          <w:szCs w:val="21"/>
          <w:vertAlign w:val="baseline"/>
          <w:rtl w:val="0"/>
        </w:rPr>
        <w:t xml:space="preserve">, ao funcionário Iuri Lucconi Grechi, jornalista, matrícula n° 923, lotado na sede do CRF/SC, em Florianópolis, 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ind w:left="1125" w:right="0" w:hanging="1080"/>
        <w:jc w:val="both"/>
        <w:rPr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Artigo 2°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- Esta Portaria passa a vigorar a partir desta data,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left="1125" w:right="0" w:hanging="1095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before="60" w:line="360" w:lineRule="auto"/>
        <w:jc w:val="right"/>
        <w:rPr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Florianópolis, SC, 30 de Maio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1260" w:right="0" w:hanging="1260"/>
        <w:jc w:val="left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260" w:right="0" w:hanging="1260"/>
        <w:jc w:val="left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260" w:right="0" w:hanging="1260"/>
        <w:jc w:val="left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1260" w:right="0" w:hanging="1260"/>
        <w:jc w:val="left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1260" w:right="0" w:hanging="1260"/>
        <w:jc w:val="center"/>
        <w:rPr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-Presidente-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099" w:top="2370" w:left="1418" w:right="843" w:header="720" w:footer="10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46"/>
        <w:tab w:val="right" w:leader="none" w:pos="10093"/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left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01080" cy="6400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1080" cy="640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