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133" w:firstLine="0"/>
        <w:rPr>
          <w:b w:val="1"/>
          <w:color w:val="282800"/>
        </w:rPr>
      </w:pPr>
      <w:r w:rsidDel="00000000" w:rsidR="00000000" w:rsidRPr="00000000">
        <w:rPr/>
        <w:drawing>
          <wp:inline distB="0" distT="0" distL="0" distR="0">
            <wp:extent cx="6085205" cy="619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13" l="-89" r="-89" t="-814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19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color w:val="282800"/>
          <w:sz w:val="26"/>
          <w:szCs w:val="26"/>
          <w:rtl w:val="0"/>
        </w:rPr>
        <w:t xml:space="preserve">PORTARIA</w:t>
      </w:r>
      <w:r w:rsidDel="00000000" w:rsidR="00000000" w:rsidRPr="00000000">
        <w:rPr>
          <w:b w:val="1"/>
          <w:i w:val="1"/>
          <w:color w:val="2828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292900"/>
          <w:sz w:val="26"/>
          <w:szCs w:val="26"/>
          <w:rtl w:val="0"/>
        </w:rPr>
        <w:t xml:space="preserve">N° 2670/2022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30" w:line="240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color w:val="282800"/>
          <w:sz w:val="18"/>
          <w:szCs w:val="18"/>
          <w:rtl w:val="0"/>
        </w:rPr>
        <w:t xml:space="preserve">Ementa: dispõe sobre a nomeação da comissão para realização de concurso público para provimento dos cargos efetivos e cadastro reserva do CRF</w:t>
      </w:r>
      <w:r w:rsidDel="00000000" w:rsidR="00000000" w:rsidRPr="00000000">
        <w:rPr>
          <w:i w:val="1"/>
          <w:color w:val="282800"/>
          <w:sz w:val="18"/>
          <w:szCs w:val="18"/>
          <w:rtl w:val="0"/>
        </w:rPr>
        <w:t xml:space="preserve">I</w:t>
      </w:r>
      <w:r w:rsidDel="00000000" w:rsidR="00000000" w:rsidRPr="00000000">
        <w:rPr>
          <w:color w:val="282800"/>
          <w:sz w:val="18"/>
          <w:szCs w:val="18"/>
          <w:rtl w:val="0"/>
        </w:rPr>
        <w:t xml:space="preserve">SC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537" w:line="240" w:lineRule="auto"/>
        <w:ind w:left="0" w:right="0" w:firstLine="0"/>
        <w:jc w:val="both"/>
        <w:rPr/>
      </w:pPr>
      <w:r w:rsidDel="00000000" w:rsidR="00000000" w:rsidRPr="00000000">
        <w:rPr>
          <w:color w:val="282800"/>
          <w:sz w:val="24"/>
          <w:szCs w:val="24"/>
          <w:rtl w:val="0"/>
        </w:rPr>
        <w:tab/>
      </w:r>
      <w:r w:rsidDel="00000000" w:rsidR="00000000" w:rsidRPr="00000000">
        <w:rPr>
          <w:color w:val="282800"/>
          <w:sz w:val="21"/>
          <w:szCs w:val="21"/>
          <w:rtl w:val="0"/>
        </w:rPr>
        <w:t xml:space="preserve">O Presidente do Conselho Regional de Farmácia do Estado de Santa Catarina – CRF-SC, no uso das atribuições que lhe são conferidas pela Lei 3820 de 11 de novembro de 1960 e Regimento Interno;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64" w:line="240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ab/>
        <w:t xml:space="preserve">Considerando que o último concurso público realizado pelo CRF</w:t>
      </w:r>
      <w:r w:rsidDel="00000000" w:rsidR="00000000" w:rsidRPr="00000000">
        <w:rPr>
          <w:i w:val="1"/>
          <w:color w:val="282800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82800"/>
          <w:sz w:val="21"/>
          <w:szCs w:val="21"/>
          <w:rtl w:val="0"/>
        </w:rPr>
        <w:t xml:space="preserve">SC para o provimento dos cargos efetivos e formação de cadastro reserva ocorreu em 2018, com a publicação do Edital no 001</w:t>
      </w:r>
      <w:r w:rsidDel="00000000" w:rsidR="00000000" w:rsidRPr="00000000">
        <w:rPr>
          <w:i w:val="1"/>
          <w:color w:val="282800"/>
          <w:sz w:val="21"/>
          <w:szCs w:val="21"/>
          <w:rtl w:val="0"/>
        </w:rPr>
        <w:t xml:space="preserve">/</w:t>
      </w:r>
      <w:r w:rsidDel="00000000" w:rsidR="00000000" w:rsidRPr="00000000">
        <w:rPr>
          <w:color w:val="282800"/>
          <w:sz w:val="21"/>
          <w:szCs w:val="21"/>
          <w:rtl w:val="0"/>
        </w:rPr>
        <w:t xml:space="preserve">2018, e</w:t>
      </w:r>
      <w:r w:rsidDel="00000000" w:rsidR="00000000" w:rsidRPr="00000000">
        <w:rPr>
          <w:rFonts w:ascii="Courier New" w:cs="Courier New" w:eastAsia="Courier New" w:hAnsi="Courier New"/>
          <w:color w:val="282800"/>
          <w:sz w:val="21"/>
          <w:szCs w:val="2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254" w:line="240" w:lineRule="auto"/>
        <w:ind w:left="-57" w:right="0" w:firstLine="0"/>
        <w:jc w:val="both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ab/>
        <w:tab/>
        <w:t xml:space="preserve">Considerando que este concurso teve a sua prorrogação nos termos do referido edital, e encerrou a sua validade em 31/08/2022;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499" w:line="240" w:lineRule="auto"/>
        <w:ind w:left="4065" w:right="352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282800"/>
          <w:sz w:val="24"/>
          <w:szCs w:val="24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499" w:line="240" w:lineRule="auto"/>
        <w:ind w:left="4065" w:right="3523" w:firstLine="0"/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282800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283" w:line="360" w:lineRule="auto"/>
        <w:ind w:left="1191" w:right="0" w:hanging="1191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282800"/>
          <w:sz w:val="21"/>
          <w:szCs w:val="21"/>
          <w:rtl w:val="0"/>
        </w:rPr>
        <w:t xml:space="preserve">Artigo 1º</w:t>
      </w:r>
      <w:r w:rsidDel="00000000" w:rsidR="00000000" w:rsidRPr="00000000">
        <w:rPr>
          <w:color w:val="282800"/>
          <w:sz w:val="21"/>
          <w:szCs w:val="21"/>
          <w:rtl w:val="0"/>
        </w:rPr>
        <w:t xml:space="preserve"> - Nomear a comissão para a realização do concurso público para provimento dos cargos efetivos e formação de cadastro reserva, c</w:t>
      </w:r>
      <w:r w:rsidDel="00000000" w:rsidR="00000000" w:rsidRPr="00000000">
        <w:rPr>
          <w:rFonts w:ascii="Courier New" w:cs="Courier New" w:eastAsia="Courier New" w:hAnsi="Courier New"/>
          <w:color w:val="282800"/>
          <w:sz w:val="21"/>
          <w:szCs w:val="21"/>
          <w:rtl w:val="0"/>
        </w:rPr>
        <w:t xml:space="preserve">O</w:t>
      </w:r>
      <w:r w:rsidDel="00000000" w:rsidR="00000000" w:rsidRPr="00000000">
        <w:rPr>
          <w:color w:val="282800"/>
          <w:sz w:val="21"/>
          <w:szCs w:val="21"/>
          <w:rtl w:val="0"/>
        </w:rPr>
        <w:t xml:space="preserve">m a seguinte composição: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left="3134" w:right="2606" w:firstLine="0"/>
        <w:jc w:val="center"/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ind w:left="0" w:right="-57" w:firstLine="0"/>
        <w:jc w:val="center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 xml:space="preserve">Beatrice de Arruda Figueiredo Kuhnen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 xml:space="preserve">Everaldo Amaral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left="0" w:right="0" w:firstLine="0"/>
        <w:jc w:val="center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 xml:space="preserve">Daniela Meurer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360" w:lineRule="auto"/>
        <w:ind w:left="0" w:right="0" w:firstLine="0"/>
        <w:jc w:val="center"/>
        <w:rPr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color w:val="282800"/>
          <w:sz w:val="21"/>
          <w:szCs w:val="21"/>
          <w:rtl w:val="0"/>
        </w:rPr>
        <w:t xml:space="preserve">Xênio Marques Kremer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288" w:line="240" w:lineRule="auto"/>
        <w:ind w:left="0" w:right="-170" w:firstLine="0"/>
        <w:jc w:val="left"/>
        <w:rPr>
          <w:sz w:val="21"/>
          <w:szCs w:val="21"/>
        </w:rPr>
      </w:pPr>
      <w:r w:rsidDel="00000000" w:rsidR="00000000" w:rsidRPr="00000000">
        <w:rPr>
          <w:color w:val="282800"/>
          <w:sz w:val="21"/>
          <w:szCs w:val="21"/>
          <w:rtl w:val="0"/>
        </w:rPr>
        <w:t xml:space="preserve">Artigo 2º – Esta portaria entra em vigor nesta data,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828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color w:val="282800"/>
          <w:sz w:val="24"/>
          <w:szCs w:val="24"/>
        </w:rPr>
      </w:pPr>
      <w:r w:rsidDel="00000000" w:rsidR="00000000" w:rsidRPr="00000000">
        <w:rPr>
          <w:b w:val="1"/>
          <w:color w:val="282800"/>
          <w:sz w:val="21"/>
          <w:szCs w:val="21"/>
          <w:rtl w:val="0"/>
        </w:rPr>
        <w:t xml:space="preserve">Farm. Marco Aurélio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color w:val="282800"/>
          <w:sz w:val="21"/>
          <w:szCs w:val="21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